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87" w:rsidRDefault="00655887" w:rsidP="00655887">
      <w:pPr>
        <w:spacing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36"/>
          <w:sz w:val="27"/>
          <w:szCs w:val="27"/>
          <w:lang w:eastAsia="it-IT"/>
        </w:rPr>
      </w:pPr>
      <w:r>
        <w:rPr>
          <w:rFonts w:ascii="Century Gothic" w:hAnsi="Century Gothic"/>
          <w:noProof/>
          <w:lang w:eastAsia="it-IT"/>
        </w:rPr>
        <w:drawing>
          <wp:inline distT="0" distB="0" distL="0" distR="0">
            <wp:extent cx="2083435" cy="8350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A1" w:rsidRPr="004807A1" w:rsidRDefault="004807A1" w:rsidP="004807A1">
      <w:pPr>
        <w:spacing w:line="240" w:lineRule="auto"/>
        <w:outlineLvl w:val="1"/>
        <w:rPr>
          <w:rFonts w:ascii="Georgia" w:eastAsia="Times New Roman" w:hAnsi="Georgia" w:cs="Times New Roman"/>
          <w:b/>
          <w:bCs/>
          <w:color w:val="000000"/>
          <w:kern w:val="36"/>
          <w:sz w:val="27"/>
          <w:szCs w:val="27"/>
          <w:lang w:eastAsia="it-IT"/>
        </w:rPr>
      </w:pPr>
      <w:proofErr w:type="spellStart"/>
      <w:r w:rsidRPr="004807A1">
        <w:rPr>
          <w:rFonts w:ascii="Georgia" w:eastAsia="Times New Roman" w:hAnsi="Georgia" w:cs="Times New Roman"/>
          <w:b/>
          <w:bCs/>
          <w:color w:val="000000"/>
          <w:kern w:val="36"/>
          <w:sz w:val="27"/>
          <w:szCs w:val="27"/>
          <w:lang w:eastAsia="it-IT"/>
        </w:rPr>
        <w:t>AlpMentor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8434"/>
      </w:tblGrid>
      <w:tr w:rsidR="004807A1" w:rsidRPr="004807A1" w:rsidTr="00655887">
        <w:trPr>
          <w:trHeight w:val="937"/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before="300"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Incipit: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before="300"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Il progetto formativo MENTOR DI CIRCOLI DI STUDIO ha lo scopo di creare la f</w:t>
            </w:r>
            <w:r w:rsidR="0065588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igura certificata </w:t>
            </w:r>
            <w:proofErr w:type="gramStart"/>
            <w:r w:rsidR="0065588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  <w:proofErr w:type="gramEnd"/>
            <w:r w:rsidR="0065588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ALPMENTOR.</w:t>
            </w:r>
          </w:p>
        </w:tc>
      </w:tr>
      <w:tr w:rsidR="004807A1" w:rsidRPr="004807A1" w:rsidTr="00655887">
        <w:trPr>
          <w:trHeight w:val="1282"/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before="300"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Settori Formativi: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before="300"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Artigianato</w:t>
            </w: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br/>
              <w:t>Turismo</w:t>
            </w: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br/>
              <w:t>Agricoltura</w:t>
            </w: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br/>
              <w:t>Pubbliche Amministrazioni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before="300"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Obbiettivi</w:t>
            </w:r>
            <w:proofErr w:type="gram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Il percorso si svilupperà attraverso una gamma di servizi formativi teorici e di attività laboratoriali o di conoscenza del territorio calibrati ad hoc su logiche di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filiera montana ed attivati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di volta in volta per aree tematiche. Durante gli incontri coinvolgeremo docenti, testimoni,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mentor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, professionisti, imprenditori, su argomenti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di 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interesse per il territorio quali il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food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- agro alimentare, turismo – sport e mobilità dolce, tutela ambientale – parchi e sentieri, filiera foresta.</w:t>
            </w:r>
          </w:p>
          <w:p w:rsidR="004807A1" w:rsidRPr="004807A1" w:rsidRDefault="00655887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Il percorso consentirà di sviluppare il mix di competenze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di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ambito pedagogico, relazionale, organizzativo che fanno parte del bagaglio professionale del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mentor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di circolo di studio.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Verrà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privilegiata la modalità di apprendimento di tipo esperienziale, collegata al territorio e orientata alla realizzazione di prodotti e attività concrete.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>Per questa iniziativa cerchiamo persone che desiderano operare nel territorio montano del FVG intrattenendo rapporti con tutti i principali attori della realtà locale.</w:t>
            </w:r>
          </w:p>
          <w:p w:rsidR="004807A1" w:rsidRPr="004807A1" w:rsidRDefault="00655887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In particolare desideriamo trovare, e formare delle persone che:</w:t>
            </w:r>
          </w:p>
          <w:p w:rsidR="004807A1" w:rsidRPr="004807A1" w:rsidRDefault="004807A1" w:rsidP="00655887">
            <w:pPr>
              <w:spacing w:after="0" w:line="240" w:lineRule="auto"/>
              <w:ind w:left="600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- sappiano individuare i principali fattori di sviluppo del territorio e quelli a maggior potenzialità;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>– riordinare la programmazione per lo sviluppo locale e valutare i progetti e le idee progetto presenti;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– coordinare le iniziative di progettazione, pianificazione e promozione nel territorio;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– predisporre un programma di azione organizzato per obiettivi di valorizzazione delle risorse locali o di qualità dello sviluppo, per campi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di azione e per fonti finanziarie reperibili;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 xml:space="preserve">– individuare e proporre nuove idee imprenditoriali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ad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uno o più soggetti di sviluppo del territorio;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>– coordinare la progettazione delle attività e il reperimento delle risorse disponibili;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>– gestire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  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i progetti e il loro monitoraggio.</w:t>
            </w:r>
          </w:p>
          <w:p w:rsidR="004807A1" w:rsidRPr="004807A1" w:rsidRDefault="00655887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A queste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12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persone che andremo a selezionare proponiamo un percorso formativo ricco di testimonianze di successo, buone pratiche ed esempi concreti di sviluppo locale.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Contenuti: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L’attività formativa è così articolata:</w: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La formazione, in forma di laboratori, tratterà i seguenti argomenti:</w:t>
            </w:r>
          </w:p>
          <w:p w:rsidR="004807A1" w:rsidRPr="004807A1" w:rsidRDefault="004807A1" w:rsidP="0065588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Le basi teoriche del modello circoli di studio: modelli formativi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nella 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educazione 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lastRenderedPageBreak/>
              <w:t>degli adulti, sviluppo locale e comunità di apprendimento;</w:t>
            </w:r>
          </w:p>
          <w:p w:rsidR="004807A1" w:rsidRPr="004807A1" w:rsidRDefault="004807A1" w:rsidP="0065588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Sviluppo delle competenze di base del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mentor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: tecniche di ascolto e comunicazione, gestione di gruppi di apprendimento, negoziazione e gesti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one dei conflitti;</w:t>
            </w:r>
          </w:p>
          <w:p w:rsidR="004807A1" w:rsidRPr="004807A1" w:rsidRDefault="004807A1" w:rsidP="0065588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Sviluppo delle competenze distintive del profilo: la rilevazione dei fabbisogni e l’integrazione con l’ambiente e la comunità di riferimento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, l’espressione della domanda formativa, la gestione degli aspetti organizzativi di un circolo di studio, la gestione del processo di apprendimento in un circolo;</w:t>
            </w:r>
          </w:p>
          <w:p w:rsidR="004807A1" w:rsidRPr="004807A1" w:rsidRDefault="004807A1" w:rsidP="0065588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Sviluppo delle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tematiche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di riferimento maggiormente interessanti per il territorio: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food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- agro alimentare, turismo – sport e mobilità dolce, tutela ambientale – parchi e sentieri, filiera foresta.</w:t>
            </w:r>
          </w:p>
          <w:p w:rsidR="004807A1" w:rsidRPr="004807A1" w:rsidRDefault="004807A1" w:rsidP="0065588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Attività pratica: un'attività di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project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work finalizzata alla preparazione di un circolo di studio in cui con l’aiuto e la guida di un esperto in materia,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si 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imparerà ad utilizzare il materiale bibliografico e teorico di settore, a reperire le fonti aggiornate su internet, ad utilizzare il materiale messo a disposizione e si realizzeranno attività pratiche utili a conoscere e sperimentare il territorio.</w: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Valutazione: modelli di monitoraggio e valutazione nel </w:t>
            </w:r>
            <w:proofErr w:type="spell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Lifelong</w:t>
            </w:r>
            <w:proofErr w:type="spell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Learning e nel circolo di studio con applicazione a casi concreti.</w:t>
            </w:r>
            <w:proofErr w:type="gramEnd"/>
          </w:p>
          <w:p w:rsidR="004807A1" w:rsidRPr="004807A1" w:rsidRDefault="00655887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Durante tutta l’esperienza formativa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verrà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prestata particolare attenzione al nuovo ciclo di Euro progettazione 2020.</w:t>
            </w: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lastRenderedPageBreak/>
              <w:t>Note: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L'iniziativa si rivolge a disoccupati, occupati, inoccupati residenti o domiciliati sul territorio regionale che abbiano almeno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18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 anni compiuti che desiderano approcciarsi a queste tematiche sia per motivi di lavoro che per passione dello sviluppo del territorio.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Si 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intende valorizzare la partecipazione di soggetti e operatori del territorio orientati professionalmente nel settore della formazione o interessati a integrare tali competenze nel proprio percorso professionale.</w:t>
            </w:r>
          </w:p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Requisiti Obbligatori: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 xml:space="preserve">Maggiore di </w:t>
            </w:r>
            <w:proofErr w:type="gramStart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18</w:t>
            </w:r>
            <w:proofErr w:type="gramEnd"/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, Minore di 65;</w:t>
            </w: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br/>
              <w:t>Residente o domiciliato in FVG;</w: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 xml:space="preserve">Per informazioni, iscrizioni e candidature </w:t>
            </w:r>
            <w:hyperlink r:id="rId7" w:history="1">
              <w:r w:rsidRPr="004807A1">
                <w:rPr>
                  <w:rFonts w:ascii="Arial" w:eastAsia="Times New Roman" w:hAnsi="Arial" w:cs="Arial"/>
                  <w:i/>
                  <w:iCs/>
                  <w:color w:val="EF6121"/>
                  <w:sz w:val="21"/>
                  <w:szCs w:val="21"/>
                  <w:lang w:eastAsia="it-IT"/>
                </w:rPr>
                <w:t>saradanelon@coopcramars.it</w:t>
              </w:r>
            </w:hyperlink>
          </w:p>
          <w:p w:rsidR="004807A1" w:rsidRPr="004807A1" w:rsidRDefault="00655887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4807A1" w:rsidRPr="004807A1" w:rsidRDefault="004807A1" w:rsidP="006558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1"/>
                <w:szCs w:val="21"/>
                <w:lang w:eastAsia="it-IT"/>
              </w:rPr>
              <w:t>ISCRIZIONI APERTE</w:t>
            </w:r>
          </w:p>
          <w:p w:rsidR="004807A1" w:rsidRPr="004807A1" w:rsidRDefault="00655887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4807A1" w:rsidRPr="004807A1" w:rsidRDefault="004807A1" w:rsidP="006558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7C1314B1" wp14:editId="030DB7C6">
                  <wp:extent cx="3752850" cy="739775"/>
                  <wp:effectExtent l="0" t="0" r="0" b="3175"/>
                  <wp:docPr id="1" name="Immagine 1" descr="http://www.coopcramars.it/contenuti/editor/fse%20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opcramars.it/contenuti/editor/fse%20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Luoghi: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Tolmezzo, via della Cooperativa 11/n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Referenti: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Sara Danelon - </w:t>
            </w:r>
            <w:proofErr w:type="spell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tel</w:t>
            </w:r>
            <w:proofErr w:type="spell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: ++ 39 433 41943 - email: </w:t>
            </w:r>
            <w:hyperlink r:id="rId9" w:history="1">
              <w:r w:rsidRPr="004807A1">
                <w:rPr>
                  <w:rFonts w:ascii="Georgia" w:eastAsia="Times New Roman" w:hAnsi="Georgia" w:cs="Times New Roman"/>
                  <w:color w:val="EF6121"/>
                  <w:sz w:val="20"/>
                  <w:szCs w:val="20"/>
                  <w:lang w:eastAsia="it-IT"/>
                </w:rPr>
                <w:t>saradanelon@coopcramars.it</w:t>
              </w:r>
            </w:hyperlink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br/>
              <w:t xml:space="preserve">Annalisa Bonfiglioli - </w:t>
            </w:r>
            <w:proofErr w:type="spell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tel</w:t>
            </w:r>
            <w:proofErr w:type="spell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: 0433 41943 </w:t>
            </w:r>
            <w:proofErr w:type="spell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int</w:t>
            </w:r>
            <w:proofErr w:type="spell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 4 - email: </w:t>
            </w:r>
            <w:hyperlink r:id="rId10" w:history="1">
              <w:r w:rsidRPr="004807A1">
                <w:rPr>
                  <w:rFonts w:ascii="Georgia" w:eastAsia="Times New Roman" w:hAnsi="Georgia" w:cs="Times New Roman"/>
                  <w:color w:val="EF6121"/>
                  <w:sz w:val="20"/>
                  <w:szCs w:val="20"/>
                  <w:lang w:eastAsia="it-IT"/>
                </w:rPr>
                <w:t>annalisabonfiglioli@coopcramars.it</w:t>
              </w:r>
            </w:hyperlink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Iscrizioni: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dal</w:t>
            </w:r>
            <w:proofErr w:type="gram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 04/05/2016</w:t>
            </w: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gram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al</w:t>
            </w:r>
            <w:proofErr w:type="gram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 18/05/2016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Attestato: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 frequenza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Test Ammissione: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</w:tr>
      <w:tr w:rsidR="004807A1" w:rsidRPr="004807A1" w:rsidTr="004807A1">
        <w:trPr>
          <w:tblCellSpacing w:w="0" w:type="dxa"/>
        </w:trPr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Costo:</w:t>
            </w:r>
          </w:p>
        </w:tc>
        <w:tc>
          <w:tcPr>
            <w:tcW w:w="0" w:type="auto"/>
            <w:tcBorders>
              <w:bottom w:val="dashed" w:sz="6" w:space="0" w:color="7A7B7B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807A1" w:rsidRPr="004807A1" w:rsidRDefault="004807A1" w:rsidP="006558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4807A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GRATUITO</w:t>
            </w:r>
          </w:p>
        </w:tc>
      </w:tr>
    </w:tbl>
    <w:p w:rsidR="00DF3E89" w:rsidRDefault="00DF3E89" w:rsidP="00655887">
      <w:pPr>
        <w:spacing w:after="0"/>
      </w:pPr>
      <w:bookmarkStart w:id="0" w:name="_GoBack"/>
      <w:bookmarkEnd w:id="0"/>
    </w:p>
    <w:sectPr w:rsidR="00DF3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02E"/>
    <w:multiLevelType w:val="multilevel"/>
    <w:tmpl w:val="8C0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A1"/>
    <w:rsid w:val="00381404"/>
    <w:rsid w:val="004807A1"/>
    <w:rsid w:val="00655887"/>
    <w:rsid w:val="00976854"/>
    <w:rsid w:val="00D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807A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807A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aradanelon@coopcramars.it?subject=AlpMen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alisabonfiglioli@coopcramar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danelon@coopcramar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Danelon - Coop. Cramars</dc:creator>
  <cp:lastModifiedBy>Sara Danelon - Coop. Cramars</cp:lastModifiedBy>
  <cp:revision>2</cp:revision>
  <dcterms:created xsi:type="dcterms:W3CDTF">2016-05-23T09:32:00Z</dcterms:created>
  <dcterms:modified xsi:type="dcterms:W3CDTF">2016-05-23T09:38:00Z</dcterms:modified>
</cp:coreProperties>
</file>